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D2" w:rsidRPr="006F499B" w:rsidRDefault="001440D2" w:rsidP="001440D2">
      <w:pPr>
        <w:shd w:val="clear" w:color="auto" w:fill="BFBFBF"/>
        <w:spacing w:after="0"/>
        <w:jc w:val="both"/>
        <w:rPr>
          <w:rFonts w:cs="Arial"/>
          <w:b/>
        </w:rPr>
      </w:pPr>
      <w:r w:rsidRPr="006F499B">
        <w:rPr>
          <w:rFonts w:cs="Arial"/>
          <w:b/>
        </w:rPr>
        <w:t>ANEXO 1: GLOSARIO DE TÉRMINOS</w:t>
      </w:r>
    </w:p>
    <w:p w:rsidR="001440D2" w:rsidRPr="006F499B" w:rsidRDefault="001440D2" w:rsidP="001440D2">
      <w:pPr>
        <w:spacing w:after="0" w:line="240" w:lineRule="auto"/>
        <w:ind w:left="709"/>
        <w:jc w:val="both"/>
        <w:rPr>
          <w:rStyle w:val="A2"/>
          <w:rFonts w:cs="Arial"/>
          <w:b/>
        </w:rPr>
      </w:pPr>
    </w:p>
    <w:p w:rsidR="001440D2" w:rsidRPr="006F499B" w:rsidRDefault="001440D2" w:rsidP="001440D2">
      <w:pPr>
        <w:spacing w:after="0" w:line="240" w:lineRule="auto"/>
        <w:ind w:left="709"/>
        <w:jc w:val="both"/>
        <w:rPr>
          <w:rStyle w:val="A2"/>
          <w:rFonts w:cs="Arial"/>
        </w:rPr>
      </w:pPr>
      <w:r w:rsidRPr="006F499B">
        <w:rPr>
          <w:rStyle w:val="A2"/>
          <w:rFonts w:cs="Arial"/>
          <w:b/>
        </w:rPr>
        <w:t>Gestión ambiental</w:t>
      </w:r>
    </w:p>
    <w:p w:rsidR="001440D2" w:rsidRPr="006F499B" w:rsidRDefault="001440D2" w:rsidP="001440D2">
      <w:pPr>
        <w:spacing w:after="0" w:line="240" w:lineRule="auto"/>
        <w:ind w:left="709"/>
        <w:jc w:val="both"/>
        <w:rPr>
          <w:rStyle w:val="A2"/>
          <w:rFonts w:cs="Arial"/>
        </w:rPr>
      </w:pPr>
      <w:r w:rsidRPr="006F499B">
        <w:rPr>
          <w:rStyle w:val="A2"/>
          <w:rFonts w:cs="Arial"/>
        </w:rPr>
        <w:t>Es un proceso permanente y continuo, constituido por el conjunto estructurado de principios, normas técnicas, procesos y actividades, orientado a administrar los intereses, expectativas y recursos relacionados con los objetivos de la po</w:t>
      </w:r>
      <w:r>
        <w:rPr>
          <w:rStyle w:val="A2"/>
          <w:rFonts w:cs="Arial"/>
        </w:rPr>
        <w:t>lítica ambiental y alcanzar así</w:t>
      </w:r>
      <w:r w:rsidRPr="006F499B">
        <w:rPr>
          <w:rStyle w:val="A2"/>
          <w:rFonts w:cs="Arial"/>
        </w:rPr>
        <w:t xml:space="preserve"> una mejor calidad de vida y el desarrollo integral de la población, el desarrollo de las actividades económicas y la conservación del patrimonio ambiental y natural del país. La gestión ambiental se rige por los principios establecidos en la presente Ley y en las leyes y otras normas sobre la materia (Ley N</w:t>
      </w:r>
      <w:r>
        <w:rPr>
          <w:rStyle w:val="A2"/>
          <w:rFonts w:cs="Arial"/>
        </w:rPr>
        <w:t>.</w:t>
      </w:r>
      <w:r w:rsidRPr="006F499B">
        <w:rPr>
          <w:rStyle w:val="A2"/>
          <w:rFonts w:cs="Arial"/>
        </w:rPr>
        <w:t>° 28611-Ley General del Ambiente: artículo 13).</w:t>
      </w:r>
    </w:p>
    <w:p w:rsidR="001440D2" w:rsidRPr="006F499B" w:rsidRDefault="001440D2" w:rsidP="001440D2">
      <w:pPr>
        <w:spacing w:after="0" w:line="240" w:lineRule="auto"/>
        <w:jc w:val="both"/>
        <w:rPr>
          <w:rFonts w:cs="Arial"/>
        </w:rPr>
      </w:pPr>
    </w:p>
    <w:p w:rsidR="001440D2" w:rsidRPr="006F499B" w:rsidRDefault="001440D2" w:rsidP="001440D2">
      <w:pPr>
        <w:spacing w:after="0" w:line="240" w:lineRule="auto"/>
        <w:ind w:left="709"/>
        <w:jc w:val="both"/>
        <w:rPr>
          <w:rStyle w:val="A2"/>
          <w:rFonts w:cs="Arial"/>
        </w:rPr>
      </w:pPr>
      <w:r w:rsidRPr="006F499B">
        <w:rPr>
          <w:rStyle w:val="A2"/>
          <w:rFonts w:cs="Arial"/>
          <w:b/>
        </w:rPr>
        <w:t>Educación ambiental</w:t>
      </w:r>
    </w:p>
    <w:p w:rsidR="001440D2" w:rsidRPr="006F499B" w:rsidRDefault="001440D2" w:rsidP="001440D2">
      <w:pPr>
        <w:spacing w:after="0" w:line="240" w:lineRule="auto"/>
        <w:ind w:left="709"/>
        <w:jc w:val="both"/>
        <w:rPr>
          <w:rStyle w:val="A2"/>
          <w:rFonts w:cs="Arial"/>
        </w:rPr>
      </w:pPr>
      <w:r w:rsidRPr="006F499B">
        <w:rPr>
          <w:rStyle w:val="A2"/>
          <w:rFonts w:cs="Arial"/>
        </w:rPr>
        <w:t xml:space="preserve">Es un proceso educativo integral que se da en toda la vida del individuo y que busca generar en </w:t>
      </w:r>
      <w:r>
        <w:rPr>
          <w:rStyle w:val="A2"/>
          <w:rFonts w:cs="Arial"/>
        </w:rPr>
        <w:t>e</w:t>
      </w:r>
      <w:r w:rsidRPr="006F499B">
        <w:rPr>
          <w:rStyle w:val="A2"/>
          <w:rFonts w:cs="Arial"/>
        </w:rPr>
        <w:t xml:space="preserve">ste los conocimientos, las actitudes, los valores y las prácticas </w:t>
      </w:r>
      <w:r>
        <w:rPr>
          <w:rStyle w:val="A2"/>
          <w:rFonts w:cs="Arial"/>
        </w:rPr>
        <w:t>que se necesitan</w:t>
      </w:r>
      <w:r w:rsidRPr="006F499B">
        <w:rPr>
          <w:rStyle w:val="A2"/>
          <w:rFonts w:cs="Arial"/>
        </w:rPr>
        <w:t xml:space="preserve"> para desarrollar sus actividades en forma ambientalmente adecuada, con miras a contribuir al desarrollo sostenible del país (Ley N</w:t>
      </w:r>
      <w:r>
        <w:rPr>
          <w:rStyle w:val="A2"/>
          <w:rFonts w:cs="Arial"/>
        </w:rPr>
        <w:t>.</w:t>
      </w:r>
      <w:r w:rsidRPr="006F499B">
        <w:rPr>
          <w:rStyle w:val="A2"/>
          <w:rFonts w:cs="Arial"/>
        </w:rPr>
        <w:t>° 28611-Ley General del Ambiente: artículo 127 numeral 1).</w:t>
      </w:r>
    </w:p>
    <w:p w:rsidR="001440D2" w:rsidRPr="006F499B" w:rsidRDefault="001440D2" w:rsidP="001440D2">
      <w:pPr>
        <w:spacing w:after="0" w:line="240" w:lineRule="auto"/>
        <w:jc w:val="both"/>
        <w:rPr>
          <w:rStyle w:val="A2"/>
          <w:rFonts w:cs="Arial"/>
          <w:b/>
        </w:rPr>
      </w:pPr>
    </w:p>
    <w:p w:rsidR="001440D2" w:rsidRPr="006F499B" w:rsidRDefault="001440D2" w:rsidP="001440D2">
      <w:pPr>
        <w:spacing w:after="0" w:line="240" w:lineRule="auto"/>
        <w:ind w:left="709"/>
        <w:jc w:val="both"/>
        <w:rPr>
          <w:rStyle w:val="A2"/>
          <w:rFonts w:cs="Arial"/>
        </w:rPr>
      </w:pPr>
      <w:r w:rsidRPr="006F499B">
        <w:rPr>
          <w:rStyle w:val="A2"/>
          <w:rFonts w:cs="Arial"/>
          <w:b/>
        </w:rPr>
        <w:t>Cultura ambiental</w:t>
      </w:r>
    </w:p>
    <w:p w:rsidR="001440D2" w:rsidRPr="006F499B" w:rsidRDefault="001440D2" w:rsidP="001440D2">
      <w:pPr>
        <w:spacing w:after="0" w:line="240" w:lineRule="auto"/>
        <w:ind w:left="709"/>
        <w:jc w:val="both"/>
        <w:rPr>
          <w:rStyle w:val="A2"/>
          <w:rFonts w:cs="Arial"/>
        </w:rPr>
      </w:pPr>
      <w:r w:rsidRPr="006F499B">
        <w:rPr>
          <w:rStyle w:val="A2"/>
          <w:rFonts w:cs="Arial"/>
        </w:rPr>
        <w:t>Es el conjunto de las dimensiones de valor, creencias, actitudes y comportamientos que asume una sociedad con su entorno y ambiente natural, y que se desarrolla a través de los ámbitos educativos y socioeconómicos. Una población con cultura ambiental apropiada es aquella con comprensión integrada del ambiente en sus múltiples y complejas relaciones, incluyendo lo político, social, cultural, económico, científico y tecnológico (Ministerio del Ambiente, 2016. Plan Estratégico Sectorial Multianual-PESEM del Sector Ambiente 2017-2021)</w:t>
      </w:r>
      <w:r>
        <w:rPr>
          <w:rStyle w:val="A2"/>
          <w:rFonts w:cs="Arial"/>
        </w:rPr>
        <w:t>.</w:t>
      </w:r>
    </w:p>
    <w:p w:rsidR="001440D2" w:rsidRPr="006F499B" w:rsidRDefault="001440D2" w:rsidP="001440D2">
      <w:pPr>
        <w:spacing w:after="0" w:line="240" w:lineRule="auto"/>
        <w:ind w:left="709"/>
        <w:jc w:val="both"/>
        <w:rPr>
          <w:rStyle w:val="A2"/>
          <w:rFonts w:cs="Arial"/>
        </w:rPr>
      </w:pPr>
    </w:p>
    <w:p w:rsidR="001440D2" w:rsidRPr="006F499B" w:rsidRDefault="001440D2" w:rsidP="001440D2">
      <w:pPr>
        <w:spacing w:after="0" w:line="240" w:lineRule="auto"/>
        <w:ind w:left="709"/>
        <w:jc w:val="both"/>
        <w:rPr>
          <w:rStyle w:val="A2"/>
          <w:rFonts w:cs="Arial"/>
        </w:rPr>
      </w:pPr>
      <w:r w:rsidRPr="006F499B">
        <w:rPr>
          <w:rStyle w:val="A2"/>
          <w:rFonts w:cs="Arial"/>
          <w:b/>
        </w:rPr>
        <w:t>Ciudadanía ambiental</w:t>
      </w:r>
    </w:p>
    <w:p w:rsidR="001440D2" w:rsidRPr="006F499B" w:rsidRDefault="001440D2" w:rsidP="001440D2">
      <w:pPr>
        <w:spacing w:after="0" w:line="240" w:lineRule="auto"/>
        <w:ind w:left="709"/>
        <w:jc w:val="both"/>
        <w:rPr>
          <w:rStyle w:val="A2"/>
          <w:rFonts w:cs="Arial"/>
        </w:rPr>
      </w:pPr>
      <w:r w:rsidRPr="006F499B">
        <w:rPr>
          <w:rStyle w:val="A2"/>
          <w:rFonts w:cs="Arial"/>
        </w:rPr>
        <w:t xml:space="preserve">Es el ejercicio de derechos y deberes ambientales asumidos por los ciudadanos y ciudadanas al tomar conciencia de la responsabilidad que tienen por vivir en un ambiente y sociedad determinados, con los que se identifican y desarrollan sentimientos de pertenencia. Se manifiesta a través de la participación activa y responsable en la toma de decisiones en procesos de gestión ambiental en los que cobran especial importancia los derechos de participación, de acceso a la información y a la justicia ambiental, así como por medio de la realización de prácticas ambientales adecuadas a partir de los diferentes roles que desempeñan en la sociedad (Ministerio del Ambiente, 2013. Glosario de términos de uso frecuente en la gestión ambiental). </w:t>
      </w:r>
    </w:p>
    <w:p w:rsidR="001440D2" w:rsidRPr="006F499B" w:rsidRDefault="001440D2" w:rsidP="001440D2">
      <w:pPr>
        <w:spacing w:after="0" w:line="240" w:lineRule="auto"/>
        <w:jc w:val="both"/>
        <w:rPr>
          <w:rStyle w:val="A2"/>
          <w:rFonts w:cs="Arial"/>
          <w:b/>
        </w:rPr>
      </w:pPr>
    </w:p>
    <w:p w:rsidR="001440D2" w:rsidRPr="006F499B" w:rsidRDefault="001440D2" w:rsidP="001440D2">
      <w:pPr>
        <w:spacing w:after="0" w:line="240" w:lineRule="auto"/>
        <w:ind w:left="709"/>
        <w:jc w:val="both"/>
        <w:rPr>
          <w:rFonts w:cs="Arial"/>
        </w:rPr>
      </w:pPr>
      <w:r w:rsidRPr="006F499B">
        <w:rPr>
          <w:rStyle w:val="A2"/>
          <w:rFonts w:cs="Arial"/>
          <w:b/>
        </w:rPr>
        <w:t>Acceso a la información ambiental</w:t>
      </w:r>
    </w:p>
    <w:p w:rsidR="001440D2" w:rsidRPr="00EC46C5" w:rsidRDefault="001440D2" w:rsidP="001440D2">
      <w:pPr>
        <w:spacing w:after="0" w:line="240" w:lineRule="auto"/>
        <w:ind w:left="709"/>
        <w:jc w:val="both"/>
        <w:rPr>
          <w:rFonts w:cs="Arial"/>
        </w:rPr>
      </w:pPr>
      <w:r w:rsidRPr="00EC46C5">
        <w:t>Se define como la capacidad de los ciudadanos de obtener información ambiental que está en poder de las autoridades públicas. Existen diversas definiciones de lo que se entiende por “información ambiental”, pero hay consenso en que esta incluye información, por ejemplo, sobre la calidad del aire y el agua, así como información respecto de si se almacenan o no sustancias químicas peligrosas en una fábrica cercana</w:t>
      </w:r>
      <w:r w:rsidRPr="00EC46C5">
        <w:rPr>
          <w:rFonts w:eastAsia="Times New Roman" w:cs="Arial"/>
        </w:rPr>
        <w:t xml:space="preserve"> (Medio Ambiente y Desarrollo de CEPAL, 2013: Página</w:t>
      </w:r>
      <w:r w:rsidRPr="00EC46C5">
        <w:rPr>
          <w:rFonts w:cs="Arial"/>
        </w:rPr>
        <w:t xml:space="preserve"> 9).</w:t>
      </w:r>
    </w:p>
    <w:p w:rsidR="001440D2" w:rsidRPr="00EC46C5" w:rsidRDefault="001440D2" w:rsidP="001440D2">
      <w:pPr>
        <w:spacing w:after="0" w:line="240" w:lineRule="auto"/>
        <w:jc w:val="both"/>
        <w:rPr>
          <w:rFonts w:cs="Arial"/>
        </w:rPr>
      </w:pPr>
    </w:p>
    <w:p w:rsidR="001440D2" w:rsidRPr="00EC46C5" w:rsidRDefault="001440D2" w:rsidP="001440D2">
      <w:pPr>
        <w:spacing w:after="0" w:line="240" w:lineRule="auto"/>
        <w:jc w:val="both"/>
        <w:rPr>
          <w:rFonts w:cs="Arial"/>
        </w:rPr>
      </w:pPr>
    </w:p>
    <w:p w:rsidR="001440D2" w:rsidRPr="00EC46C5" w:rsidRDefault="001440D2" w:rsidP="001440D2">
      <w:pPr>
        <w:spacing w:after="0" w:line="240" w:lineRule="auto"/>
        <w:ind w:left="709"/>
        <w:jc w:val="both"/>
        <w:rPr>
          <w:rFonts w:eastAsia="Times New Roman" w:cs="Arial"/>
          <w:b/>
        </w:rPr>
      </w:pPr>
      <w:r w:rsidRPr="00EC46C5">
        <w:rPr>
          <w:rFonts w:eastAsia="Times New Roman" w:cs="Arial"/>
          <w:b/>
        </w:rPr>
        <w:t>Acceso a la participación en la gestión ambiental</w:t>
      </w:r>
    </w:p>
    <w:p w:rsidR="001440D2" w:rsidRPr="00EC46C5" w:rsidRDefault="001440D2" w:rsidP="001440D2">
      <w:pPr>
        <w:spacing w:after="0" w:line="240" w:lineRule="auto"/>
        <w:ind w:left="709"/>
        <w:jc w:val="both"/>
        <w:rPr>
          <w:rFonts w:eastAsia="Times New Roman" w:cs="Arial"/>
        </w:rPr>
      </w:pPr>
      <w:r>
        <w:t>S</w:t>
      </w:r>
      <w:r w:rsidRPr="00EC46C5">
        <w:t xml:space="preserve">e define como la posibilidad de los ciudadanos de proporcionar insumos significativos, oportunos e informados y de influenciar las decisiones de políticas, estrategias y planes en diversos niveles, así como en proyectos individuales que tienen impactos ambientales. Ejemplos de ello son las instancias formales de participación ciudadana establecidas en las Evaluaciones de Impacto Ambiental o las consultas ciudadanas que realizan los gobiernos </w:t>
      </w:r>
      <w:r w:rsidRPr="00EC46C5">
        <w:lastRenderedPageBreak/>
        <w:t>para la implementación de una política nacional</w:t>
      </w:r>
      <w:r w:rsidRPr="00EC46C5">
        <w:rPr>
          <w:rFonts w:eastAsia="Times New Roman" w:cs="Arial"/>
        </w:rPr>
        <w:t xml:space="preserve"> (Medio Ambiente y Desarrollo de CEPAL, 2013: Página</w:t>
      </w:r>
      <w:r>
        <w:rPr>
          <w:rFonts w:eastAsia="Times New Roman" w:cs="Arial"/>
        </w:rPr>
        <w:t xml:space="preserve"> </w:t>
      </w:r>
      <w:r w:rsidRPr="00EC46C5">
        <w:rPr>
          <w:rFonts w:eastAsia="Times New Roman" w:cs="Arial"/>
        </w:rPr>
        <w:t>9).</w:t>
      </w:r>
    </w:p>
    <w:p w:rsidR="001440D2" w:rsidRPr="00EC46C5" w:rsidRDefault="001440D2" w:rsidP="001440D2">
      <w:pPr>
        <w:spacing w:after="0" w:line="240" w:lineRule="auto"/>
        <w:jc w:val="both"/>
        <w:rPr>
          <w:rFonts w:eastAsia="Times New Roman" w:cs="Arial"/>
        </w:rPr>
      </w:pPr>
    </w:p>
    <w:p w:rsidR="001440D2" w:rsidRPr="00EC46C5" w:rsidRDefault="001440D2" w:rsidP="001440D2">
      <w:pPr>
        <w:spacing w:after="0" w:line="240" w:lineRule="auto"/>
        <w:ind w:left="709"/>
        <w:jc w:val="both"/>
        <w:rPr>
          <w:rFonts w:eastAsia="Times New Roman" w:cs="Arial"/>
          <w:b/>
        </w:rPr>
      </w:pPr>
      <w:r w:rsidRPr="00EC46C5">
        <w:rPr>
          <w:rFonts w:eastAsia="Times New Roman" w:cs="Arial"/>
          <w:b/>
        </w:rPr>
        <w:t>Acceso a la justicia ambiental</w:t>
      </w:r>
    </w:p>
    <w:p w:rsidR="001440D2" w:rsidRPr="006F499B" w:rsidRDefault="001440D2" w:rsidP="001440D2">
      <w:pPr>
        <w:spacing w:after="0" w:line="240" w:lineRule="auto"/>
        <w:ind w:left="709"/>
        <w:jc w:val="both"/>
        <w:rPr>
          <w:rFonts w:eastAsia="Times New Roman" w:cs="Arial"/>
        </w:rPr>
      </w:pPr>
      <w:r>
        <w:t>S</w:t>
      </w:r>
      <w:r w:rsidRPr="00EC46C5">
        <w:t>e define como la capacidad de los ciudadanos de recurrir a árbitros imparciales e independientes para proteger los derechos ambientales o para corregir un daño ambiental y resolver de manera expedita disputas relacionadas con el acceso a la información y la participación en decisiones que afectan el ambiente. Los árbitros imparciales pueden ser mediadores, tribunales administrativos o tribunales de justicia, entre otros</w:t>
      </w:r>
      <w:r w:rsidRPr="00EC46C5">
        <w:rPr>
          <w:rFonts w:eastAsia="Times New Roman" w:cs="Arial"/>
        </w:rPr>
        <w:t xml:space="preserve"> (Medio Ambiente y Desarrollo de CEPAL, 2013: Página: 9).</w:t>
      </w:r>
    </w:p>
    <w:p w:rsidR="001440D2" w:rsidRPr="006F499B" w:rsidRDefault="001440D2" w:rsidP="001440D2">
      <w:pPr>
        <w:spacing w:after="0" w:line="240" w:lineRule="auto"/>
        <w:jc w:val="both"/>
        <w:rPr>
          <w:rStyle w:val="A2"/>
          <w:rFonts w:cs="Arial"/>
          <w:b/>
        </w:rPr>
      </w:pPr>
    </w:p>
    <w:p w:rsidR="001440D2" w:rsidRPr="006F499B" w:rsidRDefault="001440D2" w:rsidP="001440D2">
      <w:pPr>
        <w:spacing w:after="0" w:line="240" w:lineRule="auto"/>
        <w:ind w:left="709"/>
        <w:jc w:val="both"/>
        <w:rPr>
          <w:rStyle w:val="A2"/>
          <w:rFonts w:cs="Arial"/>
        </w:rPr>
      </w:pPr>
      <w:r w:rsidRPr="006F499B">
        <w:rPr>
          <w:rStyle w:val="A2"/>
          <w:rFonts w:cs="Arial"/>
          <w:b/>
        </w:rPr>
        <w:t>Participación ciudadana ambiental</w:t>
      </w:r>
    </w:p>
    <w:p w:rsidR="001440D2" w:rsidRPr="006F499B" w:rsidRDefault="001440D2" w:rsidP="001440D2">
      <w:pPr>
        <w:spacing w:after="0" w:line="240" w:lineRule="auto"/>
        <w:ind w:left="709"/>
        <w:jc w:val="both"/>
        <w:rPr>
          <w:rStyle w:val="A2"/>
          <w:rFonts w:cs="Arial"/>
        </w:rPr>
      </w:pPr>
      <w:r w:rsidRPr="006F499B">
        <w:rPr>
          <w:rStyle w:val="A2"/>
          <w:rFonts w:cs="Arial"/>
        </w:rPr>
        <w:t>Es el proceso mediante el cual las y los ciudadanos participan responsablemente, de buena fe y con transparencia y veracidad, en forma individual o colectiva, en la definición y aplicación de las políticas relativas al ambiente y sus componentes, que se adopten en cada uno de los niveles de gobierno, y en el proceso de tomas de decisiones públicas sobre materias ambientales, así como en su ejecución y fiscalización. Las decisiones y acciones de la gestión ambiental buscan la concertación con la sociedad civil (Decreto Supremo N</w:t>
      </w:r>
      <w:r>
        <w:rPr>
          <w:rStyle w:val="A2"/>
          <w:rFonts w:cs="Arial"/>
        </w:rPr>
        <w:t>.</w:t>
      </w:r>
      <w:r w:rsidRPr="006F499B">
        <w:rPr>
          <w:rStyle w:val="A2"/>
          <w:rFonts w:cs="Arial"/>
        </w:rPr>
        <w:t>° 002-2009-MINAM-Reglamento sobre transparencia, acceso a la información pública ambiental y participación y consulta ciudadana en asuntos ambientales).</w:t>
      </w:r>
    </w:p>
    <w:p w:rsidR="001440D2" w:rsidRPr="006F499B" w:rsidRDefault="001440D2" w:rsidP="001440D2">
      <w:pPr>
        <w:spacing w:after="0" w:line="240" w:lineRule="auto"/>
        <w:jc w:val="both"/>
        <w:rPr>
          <w:rFonts w:eastAsia="Times New Roman" w:cs="Arial"/>
        </w:rPr>
      </w:pPr>
    </w:p>
    <w:p w:rsidR="001440D2" w:rsidRPr="006F499B" w:rsidRDefault="001440D2" w:rsidP="001440D2">
      <w:pPr>
        <w:spacing w:after="0" w:line="240" w:lineRule="auto"/>
        <w:ind w:left="709"/>
        <w:jc w:val="both"/>
        <w:rPr>
          <w:rStyle w:val="A2"/>
          <w:rFonts w:cs="Arial"/>
        </w:rPr>
      </w:pPr>
      <w:r w:rsidRPr="006F499B">
        <w:rPr>
          <w:rStyle w:val="A2"/>
          <w:rFonts w:cs="Arial"/>
          <w:b/>
        </w:rPr>
        <w:t xml:space="preserve">Comisión </w:t>
      </w:r>
      <w:r>
        <w:rPr>
          <w:rStyle w:val="A2"/>
          <w:rFonts w:cs="Arial"/>
          <w:b/>
        </w:rPr>
        <w:t>A</w:t>
      </w:r>
      <w:r w:rsidRPr="006F499B">
        <w:rPr>
          <w:rStyle w:val="A2"/>
          <w:rFonts w:cs="Arial"/>
          <w:b/>
        </w:rPr>
        <w:t xml:space="preserve">mbiental </w:t>
      </w:r>
      <w:r>
        <w:rPr>
          <w:rStyle w:val="A2"/>
          <w:rFonts w:cs="Arial"/>
          <w:b/>
        </w:rPr>
        <w:t>M</w:t>
      </w:r>
      <w:r w:rsidRPr="006F499B">
        <w:rPr>
          <w:rStyle w:val="A2"/>
          <w:rFonts w:cs="Arial"/>
          <w:b/>
        </w:rPr>
        <w:t>unicipal (CAM)</w:t>
      </w:r>
    </w:p>
    <w:p w:rsidR="001440D2" w:rsidRPr="006F499B" w:rsidRDefault="001440D2" w:rsidP="001440D2">
      <w:pPr>
        <w:spacing w:after="0" w:line="240" w:lineRule="auto"/>
        <w:ind w:left="709"/>
        <w:jc w:val="both"/>
        <w:rPr>
          <w:rStyle w:val="A2"/>
          <w:rFonts w:cs="Arial"/>
        </w:rPr>
      </w:pPr>
      <w:r w:rsidRPr="006F499B">
        <w:rPr>
          <w:rStyle w:val="A2"/>
          <w:rFonts w:cs="Arial"/>
        </w:rPr>
        <w:t>Instancia de gestión ambiental, encargada de coordinar y concertar la política ambiental local. Promueve el diálogo y el acuerdo entre los sectores público y privado. Articulan sus políticas ambientales con la Comisión Ambiental Regional y el Ministerio del Ambiente. Mediante ordenanza municipal se aprueba la creación de la CAM, su ámbito, funciones y composición. La aprobación de los instrumentos de gestión ambiental provincial y distrital debe contar con opinión favorable de la CAM, sin perjuicio de la intervención de las instituciones públicas y privadas, y órganos de base representativos de la sociedad civil. Los instrumentos de gestión ambiental distrital deben guardar estricta concordancia con los aprobados para el ámbito nacional, regional y provincial (Ley 28245-Ley Marco del Sistema Nacional de Gestión Ambiental: artículos 25 y 26).</w:t>
      </w:r>
    </w:p>
    <w:p w:rsidR="00E5269E" w:rsidRDefault="001440D2">
      <w:bookmarkStart w:id="0" w:name="_GoBack"/>
      <w:bookmarkEnd w:id="0"/>
    </w:p>
    <w:sectPr w:rsidR="00E526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69731D2D"/>
    <w:multiLevelType w:val="hybridMultilevel"/>
    <w:tmpl w:val="FB36E1B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6FC70001"/>
    <w:multiLevelType w:val="hybridMultilevel"/>
    <w:tmpl w:val="B01CBBE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8B"/>
    <w:rsid w:val="001440D2"/>
    <w:rsid w:val="001C6B8B"/>
    <w:rsid w:val="00334212"/>
    <w:rsid w:val="004972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3F9FC-0C0F-4C05-9638-CA500640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B8B"/>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A,List number Paragraph,SOP_bullet1,Ha,Bolita,List Paragraph,Párrafo de lista3,BOLA,Párrafo de lista21,Guión,HOJA,BOLADEF,Párrafo de lista31,ViÃ±eta 2,Lista vistosa - Énfasis 11,Párrafo de lista5,Párrafo de lista22,Titulo 8"/>
    <w:basedOn w:val="Normal"/>
    <w:link w:val="PrrafodelistaCar"/>
    <w:uiPriority w:val="34"/>
    <w:qFormat/>
    <w:rsid w:val="001C6B8B"/>
    <w:pPr>
      <w:ind w:left="720"/>
      <w:contextualSpacing/>
    </w:pPr>
  </w:style>
  <w:style w:type="character" w:customStyle="1" w:styleId="PrrafodelistaCar">
    <w:name w:val="Párrafo de lista Car"/>
    <w:aliases w:val="TITULO A Car,List number Paragraph Car,SOP_bullet1 Car,Ha Car,Bolita Car,List Paragraph Car,Párrafo de lista3 Car,BOLA Car,Párrafo de lista21 Car,Guión Car,HOJA Car,BOLADEF Car,Párrafo de lista31 Car,ViÃ±eta 2 Car,Titulo 8 Car"/>
    <w:link w:val="Prrafodelista"/>
    <w:uiPriority w:val="34"/>
    <w:locked/>
    <w:rsid w:val="001C6B8B"/>
    <w:rPr>
      <w:rFonts w:ascii="Calibri" w:eastAsia="Calibri" w:hAnsi="Calibri" w:cs="Times New Roman"/>
      <w:lang w:val="es-ES"/>
    </w:rPr>
  </w:style>
  <w:style w:type="paragraph" w:customStyle="1" w:styleId="WW-Default">
    <w:name w:val="WW-Default"/>
    <w:rsid w:val="001C6B8B"/>
    <w:pPr>
      <w:suppressAutoHyphens/>
      <w:autoSpaceDE w:val="0"/>
      <w:spacing w:after="0" w:line="240" w:lineRule="auto"/>
    </w:pPr>
    <w:rPr>
      <w:rFonts w:ascii="Arial" w:eastAsia="Calibri" w:hAnsi="Arial" w:cs="Arial"/>
      <w:color w:val="000000"/>
      <w:sz w:val="24"/>
      <w:szCs w:val="24"/>
      <w:lang w:eastAsia="zh-CN"/>
    </w:rPr>
  </w:style>
  <w:style w:type="character" w:customStyle="1" w:styleId="A2">
    <w:name w:val="A2"/>
    <w:uiPriority w:val="99"/>
    <w:rsid w:val="001C6B8B"/>
    <w:rPr>
      <w:rFonts w:cs="Frutiger LT Std 55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Ingaruca Quispe</dc:creator>
  <cp:keywords/>
  <dc:description/>
  <cp:lastModifiedBy>Mayra Alejandra Ingaruca Quispe</cp:lastModifiedBy>
  <cp:revision>2</cp:revision>
  <dcterms:created xsi:type="dcterms:W3CDTF">2019-02-21T21:59:00Z</dcterms:created>
  <dcterms:modified xsi:type="dcterms:W3CDTF">2019-02-21T22:01:00Z</dcterms:modified>
</cp:coreProperties>
</file>